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extAlignment w:val="top"/>
        <w:outlineLvl w:val="0"/>
        <w:rPr>
          <w:rFonts w:hint="default" w:ascii="Times New Roman" w:hAnsi="Times New Roman" w:eastAsia="宋体" w:cs="Times New Roman"/>
          <w:b/>
          <w:bCs/>
          <w:color w:val="005693"/>
          <w:kern w:val="36"/>
          <w:sz w:val="24"/>
          <w:szCs w:val="24"/>
        </w:rPr>
      </w:pPr>
      <w:r>
        <w:rPr>
          <w:rFonts w:hint="default" w:ascii="Times New Roman" w:hAnsi="Times New Roman" w:eastAsia="宋体" w:cs="Times New Roman"/>
          <w:b/>
          <w:bCs/>
          <w:color w:val="005693"/>
          <w:kern w:val="36"/>
          <w:sz w:val="24"/>
          <w:szCs w:val="24"/>
        </w:rPr>
        <w:t xml:space="preserve">APORS Young Researcher Best Paper </w:t>
      </w:r>
      <w:r>
        <w:rPr>
          <w:rFonts w:hint="default" w:ascii="Times New Roman" w:hAnsi="Times New Roman" w:eastAsia="宋体" w:cs="Times New Roman"/>
          <w:b/>
          <w:bCs/>
          <w:color w:val="005693"/>
          <w:kern w:val="36"/>
          <w:sz w:val="24"/>
          <w:szCs w:val="24"/>
        </w:rPr>
        <w:t>Award</w:t>
      </w:r>
      <w:r>
        <w:rPr>
          <w:rFonts w:hint="default" w:ascii="Times New Roman" w:hAnsi="Times New Roman" w:eastAsia="宋体" w:cs="Times New Roman"/>
          <w:b/>
          <w:bCs/>
          <w:color w:val="005693"/>
          <w:kern w:val="36"/>
          <w:sz w:val="24"/>
          <w:szCs w:val="24"/>
        </w:rPr>
        <w:t xml:space="preserve"> (Guideline)</w:t>
      </w:r>
    </w:p>
    <w:p>
      <w:pPr>
        <w:widowControl/>
        <w:shd w:val="clear" w:color="auto" w:fill="FFFFFF"/>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Policy</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At most 3 papers are awarded each year as APORS Young Research Best Papers in the following categories respectively</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one for theoretical and computational paper, one for practical application paper, and one for paper collaboratively authored by persons at least from two different APORS member societies in order to encourage collaboration between APORS members.</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 xml:space="preserve">    The Award will be awarded annually either at each APORS Triennial Conference or at APORS Youth Forums between two APORS conferences, to young researchers of not more than 40 years old when the paper was published on the basis of a research paper in any area of Operational Research.  </w:t>
      </w:r>
    </w:p>
    <w:p>
      <w:pPr>
        <w:widowControl/>
        <w:shd w:val="clear" w:color="auto" w:fill="FFFFFF"/>
        <w:textAlignment w:val="top"/>
        <w:outlineLvl w:val="2"/>
        <w:rPr>
          <w:rFonts w:hint="default" w:ascii="Times New Roman" w:hAnsi="Times New Roman" w:eastAsia="宋体" w:cs="Times New Roman"/>
          <w:b/>
          <w:bCs/>
          <w:kern w:val="0"/>
          <w:sz w:val="24"/>
          <w:szCs w:val="24"/>
        </w:rPr>
      </w:pP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Award</w:t>
      </w:r>
    </w:p>
    <w:p>
      <w:pPr>
        <w:widowControl/>
        <w:shd w:val="clear" w:color="auto" w:fill="FFFFFF"/>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The Award for each of the winners is a distinct honor, including a certificate, and a coupon of </w:t>
      </w:r>
      <w:r>
        <w:rPr>
          <w:rFonts w:hint="default" w:ascii="Times New Roman" w:hAnsi="Times New Roman" w:cs="Times New Roman"/>
          <w:sz w:val="24"/>
          <w:szCs w:val="24"/>
        </w:rPr>
        <w:t>book published by the sponsor Springer worth no more than Euro 250</w:t>
      </w:r>
      <w:r>
        <w:rPr>
          <w:rFonts w:hint="default" w:ascii="Times New Roman" w:hAnsi="Times New Roman" w:eastAsia="宋体" w:cs="Times New Roman"/>
          <w:kern w:val="0"/>
          <w:sz w:val="24"/>
          <w:szCs w:val="24"/>
        </w:rPr>
        <w:t>.</w:t>
      </w:r>
    </w:p>
    <w:p>
      <w:pPr>
        <w:widowControl/>
        <w:shd w:val="clear" w:color="auto" w:fill="FFFFFF"/>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cs="Times New Roman"/>
          <w:sz w:val="24"/>
          <w:szCs w:val="24"/>
        </w:rPr>
        <w:t xml:space="preserve">As a remarkable opportunity for recognition, the prize-winners will have the privilege to extend the work of their best papers and publish their monographs through Springer. This esteemed platform offers a valuable avenue to share their groundbreaking research with a wider audience, contributing to the advancement of knowledge in the field of operational research. </w:t>
      </w:r>
    </w:p>
    <w:p>
      <w:pPr>
        <w:widowControl/>
        <w:shd w:val="clear" w:color="auto" w:fill="FFFFFF"/>
        <w:textAlignment w:val="top"/>
        <w:outlineLvl w:val="2"/>
        <w:rPr>
          <w:rFonts w:hint="default" w:ascii="Times New Roman" w:hAnsi="Times New Roman" w:eastAsia="宋体" w:cs="Times New Roman"/>
          <w:b/>
          <w:bCs/>
          <w:kern w:val="0"/>
          <w:sz w:val="24"/>
          <w:szCs w:val="24"/>
        </w:rPr>
      </w:pP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Eligibility</w:t>
      </w:r>
    </w:p>
    <w:p>
      <w:pPr>
        <w:widowControl/>
        <w:shd w:val="clear" w:color="auto" w:fill="FFFFFF"/>
        <w:ind w:firstLine="360" w:firstLineChars="1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The entries will consist of research papers that were published in a peer reviewed journal during a specific time period (usually between two and three years ago). For instance, 2023 APORS Young Researcher Best Paper </w:t>
      </w:r>
      <w:r>
        <w:rPr>
          <w:rFonts w:hint="default" w:ascii="Times New Roman" w:hAnsi="Times New Roman" w:eastAsia="宋体" w:cs="Times New Roman"/>
          <w:kern w:val="0"/>
          <w:sz w:val="24"/>
          <w:szCs w:val="24"/>
        </w:rPr>
        <w:t>Award</w:t>
      </w:r>
      <w:r>
        <w:rPr>
          <w:rFonts w:hint="default" w:ascii="Times New Roman" w:hAnsi="Times New Roman" w:eastAsia="宋体" w:cs="Times New Roman"/>
          <w:kern w:val="0"/>
          <w:sz w:val="24"/>
          <w:szCs w:val="24"/>
        </w:rPr>
        <w:t xml:space="preserve"> will be considered from research papers published in 2020 and 2021. One of the authors(s) of the paper must be a member of a member society of APORS.</w:t>
      </w:r>
    </w:p>
    <w:p>
      <w:pPr>
        <w:widowControl/>
        <w:shd w:val="clear" w:color="auto" w:fill="FFFFFF"/>
        <w:textAlignment w:val="top"/>
        <w:rPr>
          <w:rFonts w:hint="default" w:ascii="Times New Roman" w:hAnsi="Times New Roman" w:eastAsia="宋体" w:cs="Times New Roman"/>
          <w:kern w:val="0"/>
          <w:sz w:val="24"/>
          <w:szCs w:val="24"/>
        </w:rPr>
      </w:pP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Applications</w:t>
      </w:r>
    </w:p>
    <w:p>
      <w:pPr>
        <w:widowControl/>
        <w:shd w:val="clear" w:color="auto" w:fill="FFFFFF"/>
        <w:ind w:left="1260" w:leftChars="200" w:hanging="840" w:hangingChars="3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All applications should be submitted</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b/>
          <w:bCs/>
          <w:color w:val="0000FF"/>
          <w:kern w:val="0"/>
          <w:sz w:val="24"/>
          <w:szCs w:val="24"/>
          <w:u w:val="none"/>
          <w:lang w:val="en-US" w:eastAsia="zh-CN"/>
        </w:rPr>
        <w:t>by nominating society</w:t>
      </w:r>
      <w:r>
        <w:rPr>
          <w:rFonts w:hint="default" w:ascii="Times New Roman" w:hAnsi="Times New Roman" w:eastAsia="宋体" w:cs="Times New Roman"/>
          <w:kern w:val="0"/>
          <w:sz w:val="24"/>
          <w:szCs w:val="24"/>
        </w:rPr>
        <w:t xml:space="preserve"> to the following two</w:t>
      </w:r>
    </w:p>
    <w:p>
      <w:pPr>
        <w:widowControl/>
        <w:shd w:val="clear" w:color="auto" w:fill="FFFFFF"/>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email boxes </w:t>
      </w:r>
      <w:r>
        <w:rPr>
          <w:rFonts w:hint="default" w:ascii="Times New Roman" w:hAnsi="Times New Roman" w:cs="Times New Roman"/>
        </w:rPr>
        <w:fldChar w:fldCharType="begin"/>
      </w:r>
      <w:r>
        <w:rPr>
          <w:rFonts w:hint="default" w:ascii="Times New Roman" w:hAnsi="Times New Roman" w:cs="Times New Roman"/>
        </w:rPr>
        <w:instrText xml:space="preserve"> HYPERLINK "mailto:scretariat@apors.org" </w:instrText>
      </w:r>
      <w:r>
        <w:rPr>
          <w:rFonts w:hint="default" w:ascii="Times New Roman" w:hAnsi="Times New Roman" w:cs="Times New Roman"/>
        </w:rPr>
        <w:fldChar w:fldCharType="separate"/>
      </w:r>
      <w:r>
        <w:rPr>
          <w:rStyle w:val="13"/>
          <w:rFonts w:hint="default" w:ascii="Times New Roman" w:hAnsi="Times New Roman" w:eastAsia="宋体" w:cs="Times New Roman"/>
          <w:kern w:val="0"/>
          <w:sz w:val="24"/>
          <w:szCs w:val="24"/>
        </w:rPr>
        <w:t>scretariat@apors.org</w:t>
      </w:r>
      <w:r>
        <w:rPr>
          <w:rStyle w:val="13"/>
          <w:rFonts w:hint="default" w:ascii="Times New Roman" w:hAnsi="Times New Roman" w:eastAsia="宋体" w:cs="Times New Roman"/>
          <w:kern w:val="0"/>
          <w:sz w:val="24"/>
          <w:szCs w:val="24"/>
        </w:rPr>
        <w:fldChar w:fldCharType="end"/>
      </w:r>
      <w:r>
        <w:rPr>
          <w:rStyle w:val="13"/>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"mailto:apors-awards@amss.ac.cn" </w:instrText>
      </w:r>
      <w:r>
        <w:rPr>
          <w:rFonts w:hint="default" w:ascii="Times New Roman" w:hAnsi="Times New Roman" w:cs="Times New Roman"/>
        </w:rPr>
        <w:fldChar w:fldCharType="separate"/>
      </w:r>
      <w:r>
        <w:rPr>
          <w:rStyle w:val="13"/>
          <w:rFonts w:hint="default" w:ascii="Times New Roman" w:hAnsi="Times New Roman" w:eastAsia="宋体" w:cs="Times New Roman"/>
          <w:kern w:val="0"/>
          <w:sz w:val="24"/>
          <w:szCs w:val="24"/>
        </w:rPr>
        <w:t>apors-awards@amss.ac.cn</w:t>
      </w:r>
      <w:r>
        <w:rPr>
          <w:rStyle w:val="13"/>
          <w:rFonts w:hint="default" w:ascii="Times New Roman" w:hAnsi="Times New Roman" w:eastAsia="宋体" w:cs="Times New Roman"/>
          <w:kern w:val="0"/>
          <w:sz w:val="24"/>
          <w:szCs w:val="24"/>
        </w:rPr>
        <w:fldChar w:fldCharType="end"/>
      </w:r>
      <w:r>
        <w:rPr>
          <w:rStyle w:val="13"/>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by the due date set in the announcement.</w:t>
      </w:r>
    </w:p>
    <w:p>
      <w:pPr>
        <w:widowControl/>
        <w:shd w:val="clear" w:color="auto" w:fill="FFFFFF"/>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To be considered, candidate papers should be nominated by APORS member societies. At most four papers can be nominated by each APORS member society. The nominator of each research paper is asked to provide the jury with the following information, as far as possible in electronic version:</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Nominating society should submit “</w:t>
      </w:r>
      <w:r>
        <w:rPr>
          <w:rFonts w:hint="default" w:ascii="Times New Roman" w:hAnsi="Times New Roman" w:eastAsia="宋体" w:cs="Times New Roman"/>
          <w:kern w:val="0"/>
          <w:sz w:val="24"/>
          <w:szCs w:val="24"/>
          <w:lang w:val="en-US" w:eastAsia="zh-CN"/>
        </w:rPr>
        <w:t>2023 APORS Young Researcher Best Paper Award Nomination Summary Sheet</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 for all nominated papers (Attachment </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lang w:val="en-US"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A copy of the full paper published. The paper should be written in English and should include precise keywords.  Each paper should be pointed out to which category of APORS Young Researcher Best Paper Award is applied for (Theoretical or Computational; Practical Application; Research Cooperation).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Recommendation letters (or reports) from two professional referees selected by the nominating society, supporting the submission and stating their assessment of why the thesis should win the prize.</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An up-to-date CV of the candidate, including a list of publications.</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No nomination will be considered without these items.</w:t>
      </w:r>
    </w:p>
    <w:p>
      <w:pPr>
        <w:widowControl/>
        <w:shd w:val="clear" w:color="auto" w:fill="FFFFFF"/>
        <w:textAlignment w:val="top"/>
        <w:outlineLvl w:val="2"/>
        <w:rPr>
          <w:rFonts w:hint="default" w:ascii="Times New Roman" w:hAnsi="Times New Roman" w:eastAsia="宋体" w:cs="Times New Roman"/>
          <w:b/>
          <w:bCs/>
          <w:kern w:val="0"/>
          <w:sz w:val="24"/>
          <w:szCs w:val="24"/>
        </w:rPr>
      </w:pP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Selection jury</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The selection jury consists of five members of recognized stature in the OR community. Care should be taken to make sure that the selection committee is representative of the various areas of OR. The jury members are usually recommended by APORS officers.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If any member of the award jury has a past or current relationship with a nominee that might influence the selection process for reasons other than the merits of the case relative to the Award, it is the responsibility of each jury member to bring to the attention of the jury chair such a conflict of interest. The jury chair should propose a response that ensures that the final decision of the jury is exempt from any conflict. </w:t>
      </w:r>
    </w:p>
    <w:p>
      <w:pPr>
        <w:widowControl/>
        <w:shd w:val="clear" w:color="auto" w:fill="FFFFFF"/>
        <w:textAlignment w:val="top"/>
        <w:outlineLvl w:val="2"/>
        <w:rPr>
          <w:rFonts w:hint="default" w:ascii="Times New Roman" w:hAnsi="Times New Roman" w:eastAsia="宋体" w:cs="Times New Roman"/>
          <w:b/>
          <w:bCs/>
          <w:kern w:val="0"/>
          <w:sz w:val="24"/>
          <w:szCs w:val="24"/>
        </w:rPr>
      </w:pPr>
    </w:p>
    <w:p>
      <w:pPr>
        <w:widowControl/>
        <w:shd w:val="clear" w:color="auto" w:fill="FFFFFF"/>
        <w:textAlignment w:val="top"/>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Selection process</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57" w:beforeLines="50"/>
        <w:ind w:firstLine="480" w:firstLineChars="20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At most three awards may be made on each occasion in general. The jury takes the following criteria into account:</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Originality and novelty of the subject;</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Pertinence of the subject for OR;</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Depth and breadth of the results;</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Contributions of the paper to the theory and practice of OR;</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Applications and/or potential applicability of the results;</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Impact on related fields;</w:t>
      </w:r>
    </w:p>
    <w:p>
      <w:pPr>
        <w:widowControl/>
        <w:numPr>
          <w:ilvl w:val="0"/>
          <w:numId w:val="2"/>
        </w:numPr>
        <w:shd w:val="clear" w:color="auto" w:fill="FFFFFF"/>
        <w:ind w:left="0"/>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Quality of the related publications.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CC9F"/>
    <w:multiLevelType w:val="singleLevel"/>
    <w:tmpl w:val="835ACC9F"/>
    <w:lvl w:ilvl="0" w:tentative="0">
      <w:start w:val="1"/>
      <w:numFmt w:val="decimal"/>
      <w:suff w:val="space"/>
      <w:lvlText w:val="%1."/>
      <w:lvlJc w:val="left"/>
    </w:lvl>
  </w:abstractNum>
  <w:abstractNum w:abstractNumId="1">
    <w:nsid w:val="4C116526"/>
    <w:multiLevelType w:val="multilevel"/>
    <w:tmpl w:val="4C1165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M2FiZTdiMDgwMThhM2UwNTAwOWU5Y2U1Y2YyMDYifQ=="/>
  </w:docVars>
  <w:rsids>
    <w:rsidRoot w:val="00395EA8"/>
    <w:rsid w:val="000657E7"/>
    <w:rsid w:val="0008411F"/>
    <w:rsid w:val="000D2E43"/>
    <w:rsid w:val="00113E03"/>
    <w:rsid w:val="0025164E"/>
    <w:rsid w:val="002C12C1"/>
    <w:rsid w:val="002F4870"/>
    <w:rsid w:val="00320C03"/>
    <w:rsid w:val="00374D36"/>
    <w:rsid w:val="00392768"/>
    <w:rsid w:val="00395EA8"/>
    <w:rsid w:val="004124C7"/>
    <w:rsid w:val="0045795B"/>
    <w:rsid w:val="00466C4F"/>
    <w:rsid w:val="00502426"/>
    <w:rsid w:val="005024C1"/>
    <w:rsid w:val="00553C44"/>
    <w:rsid w:val="005C2DB8"/>
    <w:rsid w:val="007326F1"/>
    <w:rsid w:val="008745BD"/>
    <w:rsid w:val="008A2352"/>
    <w:rsid w:val="008B2DCB"/>
    <w:rsid w:val="00955B65"/>
    <w:rsid w:val="00972CE4"/>
    <w:rsid w:val="00997D3E"/>
    <w:rsid w:val="009B639F"/>
    <w:rsid w:val="00A10D1D"/>
    <w:rsid w:val="00A5122F"/>
    <w:rsid w:val="00A56C6F"/>
    <w:rsid w:val="00A70052"/>
    <w:rsid w:val="00AA3EF4"/>
    <w:rsid w:val="00B066B0"/>
    <w:rsid w:val="00B26175"/>
    <w:rsid w:val="00B36EB8"/>
    <w:rsid w:val="00B73C01"/>
    <w:rsid w:val="00B8420C"/>
    <w:rsid w:val="00B9102B"/>
    <w:rsid w:val="00BA7AC7"/>
    <w:rsid w:val="00BC72FE"/>
    <w:rsid w:val="00C0368E"/>
    <w:rsid w:val="00C14416"/>
    <w:rsid w:val="00C77AE6"/>
    <w:rsid w:val="00CD7DA2"/>
    <w:rsid w:val="00D307C5"/>
    <w:rsid w:val="00D51184"/>
    <w:rsid w:val="00DB14C7"/>
    <w:rsid w:val="00DC51D6"/>
    <w:rsid w:val="00DD02C4"/>
    <w:rsid w:val="00EC3526"/>
    <w:rsid w:val="00EF2E1C"/>
    <w:rsid w:val="00F24F4C"/>
    <w:rsid w:val="00F55793"/>
    <w:rsid w:val="00FE0298"/>
    <w:rsid w:val="2084447B"/>
    <w:rsid w:val="276E490A"/>
    <w:rsid w:val="363579ED"/>
    <w:rsid w:val="61C3343B"/>
    <w:rsid w:val="64A66DD0"/>
    <w:rsid w:val="7BF4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标题 2 字符"/>
    <w:basedOn w:val="10"/>
    <w:link w:val="3"/>
    <w:qFormat/>
    <w:uiPriority w:val="9"/>
    <w:rPr>
      <w:rFonts w:ascii="宋体" w:hAnsi="宋体" w:eastAsia="宋体" w:cs="宋体"/>
      <w:b/>
      <w:bCs/>
      <w:kern w:val="0"/>
      <w:sz w:val="36"/>
      <w:szCs w:val="36"/>
    </w:rPr>
  </w:style>
  <w:style w:type="character" w:customStyle="1" w:styleId="16">
    <w:name w:val="标题 3 字符"/>
    <w:basedOn w:val="10"/>
    <w:link w:val="4"/>
    <w:qFormat/>
    <w:uiPriority w:val="9"/>
    <w:rPr>
      <w:rFonts w:ascii="宋体" w:hAnsi="宋体" w:eastAsia="宋体" w:cs="宋体"/>
      <w:b/>
      <w:bCs/>
      <w:kern w:val="0"/>
      <w:sz w:val="27"/>
      <w:szCs w:val="27"/>
    </w:rPr>
  </w:style>
  <w:style w:type="paragraph" w:customStyle="1" w:styleId="17">
    <w:name w:val="content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HTML Top of Form"/>
    <w:basedOn w:val="1"/>
    <w:next w:val="1"/>
    <w:link w:val="19"/>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9">
    <w:name w:val="z-窗体顶端 字符"/>
    <w:basedOn w:val="10"/>
    <w:link w:val="18"/>
    <w:semiHidden/>
    <w:qFormat/>
    <w:uiPriority w:val="99"/>
    <w:rPr>
      <w:rFonts w:ascii="Arial" w:hAnsi="Arial" w:eastAsia="宋体" w:cs="Arial"/>
      <w:vanish/>
      <w:kern w:val="0"/>
      <w:sz w:val="16"/>
      <w:szCs w:val="16"/>
    </w:rPr>
  </w:style>
  <w:style w:type="character" w:customStyle="1" w:styleId="20">
    <w:name w:val="页眉 字符"/>
    <w:basedOn w:val="10"/>
    <w:link w:val="7"/>
    <w:qFormat/>
    <w:uiPriority w:val="99"/>
    <w:rPr>
      <w:sz w:val="18"/>
      <w:szCs w:val="18"/>
    </w:rPr>
  </w:style>
  <w:style w:type="character" w:customStyle="1" w:styleId="21">
    <w:name w:val="页脚 字符"/>
    <w:basedOn w:val="10"/>
    <w:link w:val="6"/>
    <w:qFormat/>
    <w:uiPriority w:val="99"/>
    <w:rPr>
      <w:sz w:val="18"/>
      <w:szCs w:val="18"/>
    </w:rPr>
  </w:style>
  <w:style w:type="character" w:customStyle="1" w:styleId="22">
    <w:name w:val="批注框文本 字符"/>
    <w:basedOn w:val="10"/>
    <w:link w:val="5"/>
    <w:semiHidden/>
    <w:qFormat/>
    <w:uiPriority w:val="99"/>
    <w:rPr>
      <w:sz w:val="18"/>
      <w:szCs w:val="18"/>
    </w:rPr>
  </w:style>
  <w:style w:type="character" w:customStyle="1" w:styleId="23">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3356</Characters>
  <Lines>27</Lines>
  <Paragraphs>7</Paragraphs>
  <TotalTime>11</TotalTime>
  <ScaleCrop>false</ScaleCrop>
  <LinksUpToDate>false</LinksUpToDate>
  <CharactersWithSpaces>3937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2023-09-20T00:24:00Z</dcterms:created>
  <dc:creator>ORSC</dc:creator>
  <cp:lastModifiedBy>Yukun Cheng</cp:lastModifiedBy>
  <dcterms:modified xsi:type="dcterms:W3CDTF">2023-09-22T14:51:31Z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4101BA0680AE491080AFE8B101F37993_12</vt:lpwstr>
  </property>
</Properties>
</file>